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96" w:type="dxa"/>
        <w:tblInd w:w="108" w:type="dxa"/>
        <w:tblLook w:val="04A0" w:firstRow="1" w:lastRow="0" w:firstColumn="1" w:lastColumn="0" w:noHBand="0" w:noVBand="1"/>
      </w:tblPr>
      <w:tblGrid>
        <w:gridCol w:w="1701"/>
        <w:gridCol w:w="283"/>
        <w:gridCol w:w="2171"/>
        <w:gridCol w:w="283"/>
        <w:gridCol w:w="3500"/>
        <w:gridCol w:w="158"/>
      </w:tblGrid>
      <w:tr w:rsidR="0013038A" w:rsidTr="00C73625">
        <w:trPr>
          <w:gridAfter w:val="1"/>
          <w:wAfter w:w="158" w:type="dxa"/>
          <w:trHeight w:val="20"/>
        </w:trPr>
        <w:tc>
          <w:tcPr>
            <w:tcW w:w="1701" w:type="dxa"/>
            <w:vMerge w:val="restart"/>
            <w:hideMark/>
          </w:tcPr>
          <w:p w:rsidR="0013038A" w:rsidRDefault="0013038A" w:rsidP="00C73625">
            <w:pPr>
              <w:spacing w:after="0" w:line="256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Judul Penelitian</w:t>
            </w:r>
          </w:p>
        </w:tc>
        <w:tc>
          <w:tcPr>
            <w:tcW w:w="283" w:type="dxa"/>
            <w:hideMark/>
          </w:tcPr>
          <w:p w:rsidR="0013038A" w:rsidRDefault="0013038A" w:rsidP="00C73625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  <w:gridSpan w:val="3"/>
            <w:hideMark/>
          </w:tcPr>
          <w:p w:rsidR="0013038A" w:rsidRDefault="0013038A" w:rsidP="00C73625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Analisis Perhitungan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 Perlakuan Akuntansi Bunga Simpanan Guna Menentukan 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 Final Pasal 4 Ayat 2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ada Anggota Koperasi Mantan Karyawan 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Gudang Garam Tbk. “Sekar” Jatim</w:t>
            </w:r>
          </w:p>
        </w:tc>
      </w:tr>
      <w:tr w:rsidR="0013038A" w:rsidTr="00C73625">
        <w:trPr>
          <w:gridAfter w:val="1"/>
          <w:wAfter w:w="158" w:type="dxa"/>
          <w:trHeight w:val="20"/>
        </w:trPr>
        <w:tc>
          <w:tcPr>
            <w:tcW w:w="0" w:type="auto"/>
            <w:vMerge/>
            <w:vAlign w:val="center"/>
            <w:hideMark/>
          </w:tcPr>
          <w:p w:rsidR="0013038A" w:rsidRDefault="0013038A" w:rsidP="00C736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3038A" w:rsidRDefault="0013038A" w:rsidP="00C73625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hideMark/>
          </w:tcPr>
          <w:p w:rsidR="0013038A" w:rsidRDefault="0013038A" w:rsidP="00C7362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Dosen Pembimbing</w:t>
            </w:r>
          </w:p>
        </w:tc>
        <w:tc>
          <w:tcPr>
            <w:tcW w:w="283" w:type="dxa"/>
            <w:hideMark/>
          </w:tcPr>
          <w:p w:rsidR="0013038A" w:rsidRDefault="0013038A" w:rsidP="00C7362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3500" w:type="dxa"/>
            <w:hideMark/>
          </w:tcPr>
          <w:p w:rsidR="0013038A" w:rsidRDefault="0013038A" w:rsidP="00C7362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Ahmad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S.E., M.M.</w:t>
            </w:r>
          </w:p>
        </w:tc>
      </w:tr>
      <w:tr w:rsidR="0013038A" w:rsidTr="00C73625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13038A" w:rsidRDefault="0013038A" w:rsidP="00C736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3038A" w:rsidRDefault="0013038A" w:rsidP="00C73625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13038A" w:rsidRDefault="0013038A" w:rsidP="00C7362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13038A" w:rsidRDefault="0013038A" w:rsidP="00C7362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3658" w:type="dxa"/>
            <w:gridSpan w:val="2"/>
            <w:hideMark/>
          </w:tcPr>
          <w:p w:rsidR="0013038A" w:rsidRDefault="0013038A" w:rsidP="00C7362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Muhammad Alfa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Niam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.E.,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13038A" w:rsidTr="00C73625">
        <w:trPr>
          <w:gridAfter w:val="1"/>
          <w:wAfter w:w="158" w:type="dxa"/>
          <w:trHeight w:val="20"/>
        </w:trPr>
        <w:tc>
          <w:tcPr>
            <w:tcW w:w="0" w:type="auto"/>
            <w:vMerge/>
            <w:vAlign w:val="center"/>
            <w:hideMark/>
          </w:tcPr>
          <w:p w:rsidR="0013038A" w:rsidRDefault="0013038A" w:rsidP="00C736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3038A" w:rsidRDefault="0013038A" w:rsidP="00C73625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hideMark/>
          </w:tcPr>
          <w:p w:rsidR="0013038A" w:rsidRDefault="0013038A" w:rsidP="00C7362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Nama Mahasiswa</w:t>
            </w:r>
          </w:p>
        </w:tc>
        <w:tc>
          <w:tcPr>
            <w:tcW w:w="283" w:type="dxa"/>
            <w:hideMark/>
          </w:tcPr>
          <w:p w:rsidR="0013038A" w:rsidRDefault="0013038A" w:rsidP="00C7362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3500" w:type="dxa"/>
            <w:hideMark/>
          </w:tcPr>
          <w:p w:rsidR="0013038A" w:rsidRDefault="0013038A" w:rsidP="00C7362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Septia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Mediana</w:t>
            </w:r>
            <w:proofErr w:type="spellEnd"/>
          </w:p>
        </w:tc>
      </w:tr>
      <w:tr w:rsidR="0013038A" w:rsidTr="00C73625">
        <w:trPr>
          <w:gridAfter w:val="1"/>
          <w:wAfter w:w="158" w:type="dxa"/>
          <w:trHeight w:val="20"/>
        </w:trPr>
        <w:tc>
          <w:tcPr>
            <w:tcW w:w="1701" w:type="dxa"/>
          </w:tcPr>
          <w:p w:rsidR="0013038A" w:rsidRDefault="0013038A" w:rsidP="00C73625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3038A" w:rsidRDefault="0013038A" w:rsidP="00C73625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hideMark/>
          </w:tcPr>
          <w:p w:rsidR="0013038A" w:rsidRDefault="0013038A" w:rsidP="00C7362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NPM</w:t>
            </w:r>
          </w:p>
        </w:tc>
        <w:tc>
          <w:tcPr>
            <w:tcW w:w="283" w:type="dxa"/>
            <w:hideMark/>
          </w:tcPr>
          <w:p w:rsidR="0013038A" w:rsidRDefault="0013038A" w:rsidP="00C7362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3500" w:type="dxa"/>
            <w:hideMark/>
          </w:tcPr>
          <w:p w:rsidR="0013038A" w:rsidRDefault="0013038A" w:rsidP="00C7362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.13031.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0022</w:t>
            </w:r>
          </w:p>
        </w:tc>
      </w:tr>
    </w:tbl>
    <w:p w:rsidR="0013038A" w:rsidRDefault="0013038A" w:rsidP="0013038A">
      <w:pPr>
        <w:spacing w:after="0" w:line="480" w:lineRule="auto"/>
        <w:jc w:val="center"/>
        <w:rPr>
          <w:rFonts w:ascii="Times New Roman" w:hAnsi="Times New Roman"/>
          <w:b/>
          <w:color w:val="000000"/>
          <w:sz w:val="24"/>
          <w:lang w:val="en-US"/>
        </w:rPr>
      </w:pPr>
    </w:p>
    <w:p w:rsidR="0013038A" w:rsidRDefault="0013038A" w:rsidP="0013038A">
      <w:pPr>
        <w:spacing w:after="0" w:line="480" w:lineRule="auto"/>
        <w:jc w:val="center"/>
        <w:rPr>
          <w:rFonts w:ascii="Times New Roman" w:hAnsi="Times New Roman"/>
          <w:b/>
          <w:color w:val="000000"/>
          <w:sz w:val="24"/>
          <w:lang w:val="en-US"/>
        </w:rPr>
      </w:pPr>
      <w:proofErr w:type="spellStart"/>
      <w:r>
        <w:rPr>
          <w:rFonts w:ascii="Times New Roman" w:hAnsi="Times New Roman"/>
          <w:b/>
          <w:color w:val="000000"/>
          <w:sz w:val="24"/>
          <w:lang w:val="en-US"/>
        </w:rPr>
        <w:t>Abstraksi</w:t>
      </w:r>
      <w:proofErr w:type="spellEnd"/>
    </w:p>
    <w:p w:rsidR="0013038A" w:rsidRDefault="0013038A" w:rsidP="001303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lang w:val="en-US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lang w:val="en-US"/>
        </w:rPr>
        <w:t>Perhitungan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bunga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simpanan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terdiri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atas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metode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Saldo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Terendah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Saldo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Rata-Rata,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dan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Saldo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Harian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>.</w:t>
      </w:r>
      <w:proofErr w:type="gram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Pemilihan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metode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perhitungan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bunga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simpanan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pada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Koperasi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Mantan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Karyawan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PT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Gudang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Garam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Tbk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>. “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Sekar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”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Jatim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akan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berpangaruh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pada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PPh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Final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Pasal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Ayat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2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jika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bunga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simpanan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diterimakan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sampai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240.000,00 per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dikenakan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tarif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pajak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0%,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sedangkan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bunga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diterimakan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240.000,00 per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dikenakan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tarif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pajak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10%.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Pengaruhnya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perlakuan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akuntansi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Jurnal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hingga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penyajian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pada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Perhitungan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Hasil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Usaha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dan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Neraca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>.</w:t>
      </w:r>
      <w:proofErr w:type="gram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lang w:val="en-US"/>
        </w:rPr>
        <w:t>Dengan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mengetahui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efisiensi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metode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digunakan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dapat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menekan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beban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bunga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sehingga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laba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dihasilkan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lebih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besar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>.</w:t>
      </w:r>
      <w:proofErr w:type="gramEnd"/>
    </w:p>
    <w:p w:rsidR="0013038A" w:rsidRDefault="0013038A" w:rsidP="001303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lang w:val="en-US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lang w:val="en-US"/>
        </w:rPr>
        <w:t>Teknik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pengambilan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sampel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dalam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penelitian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ini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menggunakan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metode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24"/>
          <w:lang w:val="en-US"/>
        </w:rPr>
        <w:t xml:space="preserve">quota sampling </w:t>
      </w:r>
      <w:r>
        <w:rPr>
          <w:rFonts w:ascii="Times New Roman" w:hAnsi="Times New Roman"/>
          <w:color w:val="000000"/>
          <w:sz w:val="24"/>
          <w:lang w:val="en-US"/>
        </w:rPr>
        <w:t>(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penarikan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sampel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jatah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>).</w:t>
      </w:r>
      <w:proofErr w:type="gram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lang w:val="en-US"/>
        </w:rPr>
        <w:t>Sampel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diambil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adalah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anggota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memiliki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simpanan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sukarela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lebih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dari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Rp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4.000.000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dan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peneliti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menetapkan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sampel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sejumlah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10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anggota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>.</w:t>
      </w:r>
      <w:proofErr w:type="gram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lang w:val="en-US"/>
        </w:rPr>
        <w:t xml:space="preserve">Data yang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diperoleh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melalui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wawancara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dan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dokumentasi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>.</w:t>
      </w:r>
      <w:proofErr w:type="gram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lang w:val="en-US"/>
        </w:rPr>
        <w:t xml:space="preserve">Dari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hasil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penelitian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dilakukan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metode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Saldo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Terendah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menghasilkan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beban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bunga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2.003.844,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Saldo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Rata-Rata </w:t>
      </w:r>
      <w:r>
        <w:rPr>
          <w:rFonts w:ascii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2.115.324,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Saldo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2.171.589.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Saldo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terendah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sebaiknya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diterapkan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karena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menghasilkan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beban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bunga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paling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kecil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melihat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di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tahun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2021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Koperasi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Mantan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Karyawan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PT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Gudang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Garam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Tbk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>. “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Sekar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”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mengalami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rugi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>.</w:t>
      </w:r>
      <w:proofErr w:type="gram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lang w:val="en-US"/>
        </w:rPr>
        <w:t>Dengan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menerapkan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metode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Saldo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Terendah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menjadikan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rugi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ditanggung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tidak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terlalu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US"/>
        </w:rPr>
        <w:t>besar</w:t>
      </w:r>
      <w:proofErr w:type="spellEnd"/>
      <w:r>
        <w:rPr>
          <w:rFonts w:ascii="Times New Roman" w:hAnsi="Times New Roman"/>
          <w:color w:val="000000"/>
          <w:sz w:val="24"/>
          <w:lang w:val="en-US"/>
        </w:rPr>
        <w:t>.</w:t>
      </w:r>
      <w:proofErr w:type="gramEnd"/>
    </w:p>
    <w:p w:rsidR="0013038A" w:rsidRDefault="0013038A" w:rsidP="001303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lang w:val="en-US"/>
        </w:rPr>
      </w:pPr>
    </w:p>
    <w:p w:rsidR="0013038A" w:rsidRDefault="0013038A" w:rsidP="0013038A">
      <w:pPr>
        <w:spacing w:after="0" w:line="240" w:lineRule="auto"/>
        <w:ind w:left="1276" w:hanging="1276"/>
        <w:jc w:val="both"/>
        <w:rPr>
          <w:rFonts w:ascii="Times New Roman" w:hAnsi="Times New Roman"/>
          <w:b/>
          <w:color w:val="000000"/>
          <w:sz w:val="24"/>
          <w:lang w:val="en-US"/>
        </w:rPr>
      </w:pPr>
      <w:r>
        <w:rPr>
          <w:rFonts w:ascii="Times New Roman" w:hAnsi="Times New Roman"/>
          <w:b/>
          <w:color w:val="000000"/>
          <w:sz w:val="24"/>
          <w:lang w:val="en-US"/>
        </w:rPr>
        <w:t xml:space="preserve">Kata </w:t>
      </w:r>
      <w:proofErr w:type="spellStart"/>
      <w:r>
        <w:rPr>
          <w:rFonts w:ascii="Times New Roman" w:hAnsi="Times New Roman"/>
          <w:b/>
          <w:color w:val="000000"/>
          <w:sz w:val="24"/>
          <w:lang w:val="en-US"/>
        </w:rPr>
        <w:t>kunci</w:t>
      </w:r>
      <w:proofErr w:type="spellEnd"/>
      <w:r>
        <w:rPr>
          <w:rFonts w:ascii="Times New Roman" w:hAnsi="Times New Roman"/>
          <w:b/>
          <w:color w:val="000000"/>
          <w:sz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color w:val="000000"/>
          <w:sz w:val="24"/>
          <w:lang w:val="en-US"/>
        </w:rPr>
        <w:t>Perhitungan</w:t>
      </w:r>
      <w:proofErr w:type="spellEnd"/>
      <w:r>
        <w:rPr>
          <w:rFonts w:ascii="Times New Roman" w:hAnsi="Times New Roman"/>
          <w:b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lang w:val="en-US"/>
        </w:rPr>
        <w:t>Bunga</w:t>
      </w:r>
      <w:proofErr w:type="spellEnd"/>
      <w:r>
        <w:rPr>
          <w:rFonts w:ascii="Times New Roman" w:hAnsi="Times New Roman"/>
          <w:b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lang w:val="en-US"/>
        </w:rPr>
        <w:t>Simpanan</w:t>
      </w:r>
      <w:proofErr w:type="spellEnd"/>
      <w:r>
        <w:rPr>
          <w:rFonts w:ascii="Times New Roman" w:hAnsi="Times New Roman"/>
          <w:b/>
          <w:color w:val="000000"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lang w:val="en-US"/>
        </w:rPr>
        <w:t>Perlakuan</w:t>
      </w:r>
      <w:proofErr w:type="spellEnd"/>
      <w:r>
        <w:rPr>
          <w:rFonts w:ascii="Times New Roman" w:hAnsi="Times New Roman"/>
          <w:b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lang w:val="en-US"/>
        </w:rPr>
        <w:t>Akuntansi</w:t>
      </w:r>
      <w:proofErr w:type="spellEnd"/>
      <w:r>
        <w:rPr>
          <w:rFonts w:ascii="Times New Roman" w:hAnsi="Times New Roman"/>
          <w:b/>
          <w:color w:val="000000"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lang w:val="en-US"/>
        </w:rPr>
        <w:t>PPh</w:t>
      </w:r>
      <w:proofErr w:type="spellEnd"/>
      <w:r>
        <w:rPr>
          <w:rFonts w:ascii="Times New Roman" w:hAnsi="Times New Roman"/>
          <w:b/>
          <w:color w:val="000000"/>
          <w:sz w:val="24"/>
          <w:lang w:val="en-US"/>
        </w:rPr>
        <w:t xml:space="preserve"> Final </w:t>
      </w:r>
      <w:proofErr w:type="spellStart"/>
      <w:r>
        <w:rPr>
          <w:rFonts w:ascii="Times New Roman" w:hAnsi="Times New Roman"/>
          <w:b/>
          <w:color w:val="000000"/>
          <w:sz w:val="24"/>
          <w:lang w:val="en-US"/>
        </w:rPr>
        <w:t>Pasal</w:t>
      </w:r>
      <w:proofErr w:type="spellEnd"/>
      <w:r>
        <w:rPr>
          <w:rFonts w:ascii="Times New Roman" w:hAnsi="Times New Roman"/>
          <w:b/>
          <w:color w:val="000000"/>
          <w:sz w:val="24"/>
          <w:lang w:val="en-US"/>
        </w:rPr>
        <w:t xml:space="preserve"> 4 </w:t>
      </w:r>
      <w:proofErr w:type="spellStart"/>
      <w:r>
        <w:rPr>
          <w:rFonts w:ascii="Times New Roman" w:hAnsi="Times New Roman"/>
          <w:b/>
          <w:color w:val="000000"/>
          <w:sz w:val="24"/>
          <w:lang w:val="en-US"/>
        </w:rPr>
        <w:t>Ayat</w:t>
      </w:r>
      <w:proofErr w:type="spellEnd"/>
      <w:r>
        <w:rPr>
          <w:rFonts w:ascii="Times New Roman" w:hAnsi="Times New Roman"/>
          <w:b/>
          <w:color w:val="000000"/>
          <w:sz w:val="24"/>
          <w:lang w:val="en-US"/>
        </w:rPr>
        <w:t xml:space="preserve"> 2</w:t>
      </w:r>
    </w:p>
    <w:p w:rsidR="0013038A" w:rsidRDefault="0013038A" w:rsidP="0013038A">
      <w:pPr>
        <w:spacing w:after="200" w:line="276" w:lineRule="auto"/>
        <w:rPr>
          <w:rFonts w:ascii="Times New Roman" w:hAnsi="Times New Roman"/>
          <w:b/>
          <w:color w:val="000000"/>
          <w:sz w:val="24"/>
          <w:lang w:val="en-US"/>
        </w:rPr>
      </w:pPr>
      <w:r>
        <w:rPr>
          <w:rFonts w:ascii="Times New Roman" w:hAnsi="Times New Roman"/>
          <w:b/>
          <w:color w:val="000000"/>
          <w:sz w:val="24"/>
          <w:lang w:val="en-US"/>
        </w:rPr>
        <w:br w:type="page"/>
      </w:r>
      <w:bookmarkStart w:id="0" w:name="_GoBack"/>
      <w:bookmarkEnd w:id="0"/>
    </w:p>
    <w:sectPr w:rsidR="0013038A" w:rsidSect="00626A46">
      <w:pgSz w:w="11907" w:h="16839" w:code="9"/>
      <w:pgMar w:top="2268" w:right="1701" w:bottom="1701" w:left="226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8A"/>
    <w:rsid w:val="0013038A"/>
    <w:rsid w:val="0035442F"/>
    <w:rsid w:val="00626A46"/>
    <w:rsid w:val="009F5B3A"/>
    <w:rsid w:val="00A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8A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8A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BA180-2D5C-4398-8056-87DC7A9E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>HP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2023-12-21T01:19:00Z</dcterms:created>
  <dcterms:modified xsi:type="dcterms:W3CDTF">2023-12-21T01:19:00Z</dcterms:modified>
</cp:coreProperties>
</file>