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13" w:rsidRDefault="00751813" w:rsidP="0075181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51813" w:rsidRDefault="00751813" w:rsidP="0075181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 Performing Loan</w:t>
      </w:r>
      <w:r>
        <w:rPr>
          <w:rFonts w:ascii="Times New Roman" w:hAnsi="Times New Roman" w:cs="Times New Roman"/>
          <w:sz w:val="24"/>
          <w:szCs w:val="24"/>
        </w:rPr>
        <w:t xml:space="preserve"> (NPL)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Sejahtera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Sejahtera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persentase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Non Performing Loan </w:t>
      </w:r>
      <w:r>
        <w:rPr>
          <w:rFonts w:ascii="Times New Roman" w:hAnsi="Times New Roman" w:cs="Times New Roman"/>
          <w:iCs/>
          <w:sz w:val="24"/>
          <w:szCs w:val="24"/>
        </w:rPr>
        <w:t xml:space="preserve">(NPL)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Sejahtera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dari tahun 2018 sampai dengan tahun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>erhitungan NPL menunjukkan bahwa pada tahun 2018 persentase NPL sebesar 0,58%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pada tahun 2019 sebesar 0,93%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dan pada tahun 2020 sebesar 7,36%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Sejahtera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rescheduling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restructuring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1813" w:rsidRDefault="00751813" w:rsidP="007518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NPL,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Bermasalah</w:t>
      </w:r>
      <w:bookmarkStart w:id="0" w:name="_GoBack"/>
      <w:bookmarkEnd w:id="0"/>
      <w:proofErr w:type="spellEnd"/>
    </w:p>
    <w:p w:rsidR="00751813" w:rsidRDefault="00751813" w:rsidP="00751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813" w:rsidRPr="00751813" w:rsidRDefault="00751813" w:rsidP="00751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487" w:rsidRDefault="00751813"/>
    <w:sectPr w:rsidR="00022487" w:rsidSect="007518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13"/>
    <w:rsid w:val="004624B9"/>
    <w:rsid w:val="00751813"/>
    <w:rsid w:val="00D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2023-11-21T07:38:00Z</dcterms:created>
  <dcterms:modified xsi:type="dcterms:W3CDTF">2023-11-21T09:13:00Z</dcterms:modified>
</cp:coreProperties>
</file>