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EA" w:rsidRPr="00173347" w:rsidRDefault="00346BEA" w:rsidP="008E2A26">
      <w:pPr>
        <w:pStyle w:val="BodyText"/>
        <w:spacing w:before="240"/>
        <w:ind w:left="1985" w:hanging="1985"/>
        <w:jc w:val="both"/>
        <w:rPr>
          <w:rFonts w:ascii="Book Antiqua" w:hAnsi="Book Antiqua"/>
          <w:b/>
          <w:sz w:val="20"/>
          <w:szCs w:val="20"/>
        </w:rPr>
      </w:pPr>
      <w:r w:rsidRPr="00173347">
        <w:rPr>
          <w:rFonts w:ascii="Book Antiqua" w:hAnsi="Book Antiqua"/>
          <w:b/>
          <w:sz w:val="20"/>
          <w:szCs w:val="20"/>
        </w:rPr>
        <w:t xml:space="preserve">Judul Penelitian : </w:t>
      </w:r>
      <w:r w:rsidRPr="00173347">
        <w:rPr>
          <w:rFonts w:ascii="Book Antiqua" w:hAnsi="Book Antiqua"/>
          <w:b/>
          <w:sz w:val="20"/>
          <w:szCs w:val="20"/>
        </w:rPr>
        <w:tab/>
      </w:r>
      <w:r w:rsidR="008E2A26" w:rsidRPr="008E2A26">
        <w:rPr>
          <w:rFonts w:ascii="Book Antiqua" w:hAnsi="Book Antiqua"/>
          <w:b/>
          <w:sz w:val="20"/>
          <w:szCs w:val="20"/>
        </w:rPr>
        <w:t>Pengaruh Qu</w:t>
      </w:r>
      <w:r w:rsidR="008E2A26">
        <w:rPr>
          <w:rFonts w:ascii="Book Antiqua" w:hAnsi="Book Antiqua"/>
          <w:b/>
          <w:sz w:val="20"/>
          <w:szCs w:val="20"/>
        </w:rPr>
        <w:t xml:space="preserve">ick Ratio (QR), Debt </w:t>
      </w:r>
      <w:r w:rsidR="008E2A26" w:rsidRPr="008E2A26">
        <w:rPr>
          <w:rFonts w:ascii="Book Antiqua" w:hAnsi="Book Antiqua"/>
          <w:b/>
          <w:sz w:val="20"/>
          <w:szCs w:val="20"/>
        </w:rPr>
        <w:t>to Equity Ratio (DER) dan Return On Assets (ROA) terhadap Harga Saham pada Perusahaan Subsektor Telekomunikasi yang terdaftar di Bursa Efek Indonesia (BEI) tahun 2020-2022</w:t>
      </w:r>
    </w:p>
    <w:tbl>
      <w:tblPr>
        <w:tblStyle w:val="TableGrid"/>
        <w:tblW w:w="5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272"/>
        <w:gridCol w:w="3530"/>
      </w:tblGrid>
      <w:tr w:rsidR="00346BEA" w:rsidRPr="00173347" w:rsidTr="00EE1046">
        <w:tc>
          <w:tcPr>
            <w:tcW w:w="215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Dosen Pembimbing I</w:t>
            </w:r>
          </w:p>
        </w:tc>
        <w:tc>
          <w:tcPr>
            <w:tcW w:w="27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w:t>
            </w:r>
          </w:p>
        </w:tc>
        <w:tc>
          <w:tcPr>
            <w:tcW w:w="3530"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Dr.Edwin Agus Buniarto,S.E.,M.M</w:t>
            </w:r>
          </w:p>
        </w:tc>
      </w:tr>
      <w:tr w:rsidR="00346BEA" w:rsidRPr="00173347" w:rsidTr="00EE1046">
        <w:tc>
          <w:tcPr>
            <w:tcW w:w="215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Dosen Pembimbing II</w:t>
            </w:r>
          </w:p>
        </w:tc>
        <w:tc>
          <w:tcPr>
            <w:tcW w:w="27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w:t>
            </w:r>
          </w:p>
        </w:tc>
        <w:tc>
          <w:tcPr>
            <w:tcW w:w="3530"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Edi Murdiyanto,SH,M</w:t>
            </w:r>
            <w:r>
              <w:rPr>
                <w:rFonts w:ascii="Book Antiqua" w:hAnsi="Book Antiqua"/>
                <w:sz w:val="20"/>
                <w:szCs w:val="20"/>
              </w:rPr>
              <w:t>.</w:t>
            </w:r>
            <w:r w:rsidRPr="00173347">
              <w:rPr>
                <w:rFonts w:ascii="Book Antiqua" w:hAnsi="Book Antiqua"/>
                <w:sz w:val="20"/>
                <w:szCs w:val="20"/>
              </w:rPr>
              <w:t>M</w:t>
            </w:r>
          </w:p>
        </w:tc>
      </w:tr>
      <w:tr w:rsidR="00346BEA" w:rsidRPr="00173347" w:rsidTr="00EE1046">
        <w:tc>
          <w:tcPr>
            <w:tcW w:w="215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Nama Mahasiswa</w:t>
            </w:r>
          </w:p>
        </w:tc>
        <w:tc>
          <w:tcPr>
            <w:tcW w:w="27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w:t>
            </w:r>
          </w:p>
        </w:tc>
        <w:tc>
          <w:tcPr>
            <w:tcW w:w="3530" w:type="dxa"/>
          </w:tcPr>
          <w:p w:rsidR="00346BEA" w:rsidRPr="00173347" w:rsidRDefault="008E2A26" w:rsidP="00EE1046">
            <w:pPr>
              <w:pStyle w:val="BodyText"/>
              <w:spacing w:before="240" w:line="276" w:lineRule="auto"/>
              <w:jc w:val="both"/>
              <w:rPr>
                <w:rFonts w:ascii="Book Antiqua" w:hAnsi="Book Antiqua"/>
                <w:sz w:val="20"/>
                <w:szCs w:val="20"/>
              </w:rPr>
            </w:pPr>
            <w:r>
              <w:rPr>
                <w:rFonts w:ascii="Book Antiqua" w:hAnsi="Book Antiqua"/>
                <w:sz w:val="20"/>
                <w:szCs w:val="20"/>
              </w:rPr>
              <w:t>Devi Candra Tarischa</w:t>
            </w:r>
          </w:p>
        </w:tc>
      </w:tr>
      <w:tr w:rsidR="00346BEA" w:rsidRPr="00173347" w:rsidTr="00EE1046">
        <w:trPr>
          <w:trHeight w:val="306"/>
        </w:trPr>
        <w:tc>
          <w:tcPr>
            <w:tcW w:w="215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NPM</w:t>
            </w:r>
          </w:p>
        </w:tc>
        <w:tc>
          <w:tcPr>
            <w:tcW w:w="272" w:type="dxa"/>
          </w:tcPr>
          <w:p w:rsidR="00346BEA" w:rsidRPr="00173347" w:rsidRDefault="00346BEA" w:rsidP="00EE1046">
            <w:pPr>
              <w:pStyle w:val="BodyText"/>
              <w:spacing w:before="240" w:line="276" w:lineRule="auto"/>
              <w:jc w:val="both"/>
              <w:rPr>
                <w:rFonts w:ascii="Book Antiqua" w:hAnsi="Book Antiqua"/>
                <w:sz w:val="20"/>
                <w:szCs w:val="20"/>
              </w:rPr>
            </w:pPr>
            <w:r w:rsidRPr="00173347">
              <w:rPr>
                <w:rFonts w:ascii="Book Antiqua" w:hAnsi="Book Antiqua"/>
                <w:sz w:val="20"/>
                <w:szCs w:val="20"/>
              </w:rPr>
              <w:t>:</w:t>
            </w:r>
          </w:p>
        </w:tc>
        <w:tc>
          <w:tcPr>
            <w:tcW w:w="3530" w:type="dxa"/>
          </w:tcPr>
          <w:p w:rsidR="00346BEA" w:rsidRPr="00173347" w:rsidRDefault="008E2A26" w:rsidP="00EE1046">
            <w:pPr>
              <w:pStyle w:val="BodyText"/>
              <w:spacing w:before="240" w:line="276" w:lineRule="auto"/>
              <w:jc w:val="both"/>
              <w:rPr>
                <w:rFonts w:ascii="Book Antiqua" w:hAnsi="Book Antiqua"/>
                <w:sz w:val="20"/>
                <w:szCs w:val="20"/>
              </w:rPr>
            </w:pPr>
            <w:r>
              <w:rPr>
                <w:rFonts w:ascii="Book Antiqua" w:hAnsi="Book Antiqua"/>
                <w:sz w:val="20"/>
                <w:szCs w:val="20"/>
              </w:rPr>
              <w:t>20130210182</w:t>
            </w:r>
          </w:p>
        </w:tc>
      </w:tr>
    </w:tbl>
    <w:p w:rsidR="00346BEA" w:rsidRPr="00173347" w:rsidRDefault="00346BEA" w:rsidP="00346BEA">
      <w:pPr>
        <w:pStyle w:val="Heading1"/>
        <w:tabs>
          <w:tab w:val="left" w:pos="3738"/>
        </w:tabs>
        <w:spacing w:line="276" w:lineRule="auto"/>
        <w:ind w:left="0"/>
        <w:jc w:val="left"/>
        <w:rPr>
          <w:rFonts w:ascii="Book Antiqua" w:hAnsi="Book Antiqua"/>
          <w:sz w:val="20"/>
          <w:szCs w:val="20"/>
        </w:rPr>
      </w:pPr>
    </w:p>
    <w:p w:rsidR="00346BEA" w:rsidRDefault="00346BEA" w:rsidP="00346BEA">
      <w:pPr>
        <w:pStyle w:val="BodyText"/>
        <w:spacing w:before="48" w:line="276" w:lineRule="auto"/>
        <w:jc w:val="center"/>
        <w:rPr>
          <w:rFonts w:ascii="Book Antiqua" w:hAnsi="Book Antiqua"/>
          <w:b/>
          <w:sz w:val="20"/>
          <w:szCs w:val="20"/>
        </w:rPr>
      </w:pPr>
      <w:r>
        <w:rPr>
          <w:rFonts w:ascii="Book Antiqua" w:hAnsi="Book Antiqua"/>
          <w:b/>
          <w:sz w:val="20"/>
          <w:szCs w:val="20"/>
        </w:rPr>
        <w:t>Abstraksi</w:t>
      </w:r>
    </w:p>
    <w:p w:rsidR="008E2A26" w:rsidRPr="00483AB9" w:rsidRDefault="008E2A26" w:rsidP="00346BEA">
      <w:pPr>
        <w:pStyle w:val="BodyText"/>
        <w:spacing w:before="48" w:line="276" w:lineRule="auto"/>
        <w:jc w:val="center"/>
        <w:rPr>
          <w:rFonts w:ascii="Book Antiqua" w:hAnsi="Book Antiqua"/>
          <w:b/>
          <w:sz w:val="20"/>
          <w:szCs w:val="20"/>
        </w:rPr>
      </w:pPr>
    </w:p>
    <w:p w:rsidR="008E2A26" w:rsidRPr="008E2A26" w:rsidRDefault="008E2A26" w:rsidP="008E2A26">
      <w:pPr>
        <w:pStyle w:val="BodyText"/>
        <w:spacing w:before="48"/>
        <w:ind w:firstLine="426"/>
        <w:jc w:val="both"/>
        <w:rPr>
          <w:rFonts w:ascii="Book Antiqua" w:hAnsi="Book Antiqua"/>
          <w:sz w:val="20"/>
          <w:szCs w:val="20"/>
        </w:rPr>
      </w:pPr>
      <w:r w:rsidRPr="008E2A26">
        <w:rPr>
          <w:rFonts w:ascii="Book Antiqua" w:hAnsi="Book Antiqua"/>
          <w:sz w:val="20"/>
          <w:szCs w:val="20"/>
        </w:rPr>
        <w:t>Perkembangan teknologi dan peningkatan penggunaan layanan telekomunikasi membuat perusahaan pada bidang telekomunikasi terus mengembangkan usaha nya untuk menjaga eksistensi nya, perusahaan juga menghadapi berbagai hambatan, salah satu nya dalam mengambil keputusan terkait pendanaan. Jika melihat kinerja keuangan perusahaan baik, maka akan banyak investor yang tertarik untuk menanamkan modal di BEI, dengan hal ini harga saham merupakan indikator penting bagi calon investor untuk membuat keputusan investasi yang baik. Setiap harga saham mengalami fluktuasi yang menyebabkan investor memperoleh laba ataupun rugi dari pembagian deviden.</w:t>
      </w:r>
    </w:p>
    <w:p w:rsidR="008E2A26" w:rsidRPr="008E2A26" w:rsidRDefault="008E2A26" w:rsidP="008E2A26">
      <w:pPr>
        <w:pStyle w:val="BodyText"/>
        <w:spacing w:before="48"/>
        <w:ind w:firstLine="426"/>
        <w:jc w:val="both"/>
        <w:rPr>
          <w:rFonts w:ascii="Book Antiqua" w:hAnsi="Book Antiqua"/>
          <w:sz w:val="20"/>
          <w:szCs w:val="20"/>
        </w:rPr>
      </w:pPr>
      <w:r w:rsidRPr="008E2A26">
        <w:rPr>
          <w:rFonts w:ascii="Book Antiqua" w:hAnsi="Book Antiqua"/>
          <w:sz w:val="20"/>
          <w:szCs w:val="20"/>
        </w:rPr>
        <w:t>Penelitian ini bertujuan untuk mengetahui pengaruh Quick Ratio (QR), Debt to Equity Ratio (DER) dan Return On Assets (ROA) terhadap Harga Saham pada Perusahaan Subsektor Telekomunikasi yang terdaftar di BEI tahun 2020 - 2022. Populasi penelitian ini merupakan laporan keuangan</w:t>
      </w:r>
    </w:p>
    <w:p w:rsidR="008E2A26" w:rsidRPr="008E2A26" w:rsidRDefault="008E2A26" w:rsidP="008E2A26">
      <w:pPr>
        <w:pStyle w:val="BodyText"/>
        <w:spacing w:before="48"/>
        <w:ind w:firstLine="426"/>
        <w:jc w:val="both"/>
        <w:rPr>
          <w:rFonts w:ascii="Book Antiqua" w:hAnsi="Book Antiqua"/>
          <w:sz w:val="20"/>
          <w:szCs w:val="20"/>
        </w:rPr>
      </w:pPr>
      <w:r w:rsidRPr="008E2A26">
        <w:rPr>
          <w:rFonts w:ascii="Book Antiqua" w:hAnsi="Book Antiqua"/>
          <w:sz w:val="20"/>
          <w:szCs w:val="20"/>
        </w:rPr>
        <w:lastRenderedPageBreak/>
        <w:t>perusahaan subsektor telekomunikasi yang terdaftar di BEI 2020 - 2022. Sampel sebanyak 54 laporan keuangan dengan teknik  purposive  sampling.</w:t>
      </w:r>
      <w:r>
        <w:rPr>
          <w:rFonts w:ascii="Book Antiqua" w:hAnsi="Book Antiqua"/>
          <w:sz w:val="20"/>
          <w:szCs w:val="20"/>
        </w:rPr>
        <w:t xml:space="preserve">  Sumber  data  yang  digunakan </w:t>
      </w:r>
      <w:r w:rsidRPr="008E2A26">
        <w:rPr>
          <w:rFonts w:ascii="Book Antiqua" w:hAnsi="Book Antiqua"/>
          <w:sz w:val="20"/>
          <w:szCs w:val="20"/>
        </w:rPr>
        <w:t>merupakan data sekunder. Teknik analisis yang digunakan adalah teknik analisis kuantitatif dengan pendekatan asosiatif. Pengujian yang dilakukan dalam penelitian ini menggunakan analisis regresi data panel dengan alat uji Eviews 9.</w:t>
      </w:r>
    </w:p>
    <w:p w:rsidR="008E2A26" w:rsidRPr="008E2A26" w:rsidRDefault="008E2A26" w:rsidP="008E2A26">
      <w:pPr>
        <w:pStyle w:val="BodyText"/>
        <w:spacing w:before="48"/>
        <w:ind w:firstLine="426"/>
        <w:jc w:val="both"/>
        <w:rPr>
          <w:rFonts w:ascii="Book Antiqua" w:hAnsi="Book Antiqua"/>
          <w:sz w:val="20"/>
          <w:szCs w:val="20"/>
        </w:rPr>
      </w:pPr>
      <w:r w:rsidRPr="008E2A26">
        <w:rPr>
          <w:rFonts w:ascii="Book Antiqua" w:hAnsi="Book Antiqua"/>
          <w:sz w:val="20"/>
          <w:szCs w:val="20"/>
        </w:rPr>
        <w:t>Berdasarkan dari hasil</w:t>
      </w:r>
      <w:r>
        <w:rPr>
          <w:rFonts w:ascii="Book Antiqua" w:hAnsi="Book Antiqua"/>
          <w:sz w:val="20"/>
          <w:szCs w:val="20"/>
        </w:rPr>
        <w:t xml:space="preserve"> analisis yang dilakukan, hasil </w:t>
      </w:r>
      <w:bookmarkStart w:id="0" w:name="_GoBack"/>
      <w:bookmarkEnd w:id="0"/>
      <w:r w:rsidRPr="008E2A26">
        <w:rPr>
          <w:rFonts w:ascii="Book Antiqua" w:hAnsi="Book Antiqua"/>
          <w:sz w:val="20"/>
          <w:szCs w:val="20"/>
        </w:rPr>
        <w:t>penelitian menunjukkan bahwa Quick Ratio dan Debt Equity Ratio berpengaruh tidak signifikan terhadap Harga Saham sedangkan Return On Asset berpengaruh signifikan terhadap Harga Saham.</w:t>
      </w:r>
    </w:p>
    <w:p w:rsidR="008E2A26" w:rsidRPr="008E2A26" w:rsidRDefault="008E2A26" w:rsidP="008E2A26">
      <w:pPr>
        <w:pStyle w:val="BodyText"/>
        <w:spacing w:before="48"/>
        <w:ind w:firstLine="426"/>
        <w:jc w:val="both"/>
        <w:rPr>
          <w:rFonts w:ascii="Book Antiqua" w:hAnsi="Book Antiqua"/>
          <w:sz w:val="20"/>
          <w:szCs w:val="20"/>
        </w:rPr>
      </w:pPr>
    </w:p>
    <w:p w:rsidR="008E2A26" w:rsidRPr="008E2A26" w:rsidRDefault="008E2A26" w:rsidP="008E2A26">
      <w:pPr>
        <w:pStyle w:val="BodyText"/>
        <w:spacing w:before="48"/>
        <w:jc w:val="both"/>
        <w:rPr>
          <w:rFonts w:ascii="Book Antiqua" w:hAnsi="Book Antiqua"/>
          <w:b/>
          <w:sz w:val="20"/>
          <w:szCs w:val="20"/>
        </w:rPr>
      </w:pPr>
      <w:r w:rsidRPr="008E2A26">
        <w:rPr>
          <w:rFonts w:ascii="Book Antiqua" w:hAnsi="Book Antiqua"/>
          <w:b/>
          <w:sz w:val="20"/>
          <w:szCs w:val="20"/>
        </w:rPr>
        <w:t>Kata Kunci : Quick Ratio (QR), Debt to Equity Ratio (DER), Return On Assets (ROA), Debt to Equity Ratio (DER), Harga Saham</w:t>
      </w:r>
    </w:p>
    <w:p w:rsidR="00346BEA" w:rsidRPr="008E2A26" w:rsidRDefault="00346BEA">
      <w:pPr>
        <w:spacing w:after="160" w:line="259" w:lineRule="auto"/>
        <w:rPr>
          <w:rFonts w:ascii="Book Antiqua" w:hAnsi="Book Antiqua"/>
          <w:b/>
          <w:sz w:val="20"/>
          <w:szCs w:val="20"/>
        </w:rPr>
      </w:pPr>
      <w:r w:rsidRPr="008E2A26">
        <w:rPr>
          <w:rFonts w:ascii="Book Antiqua" w:hAnsi="Book Antiqua"/>
          <w:b/>
          <w:sz w:val="20"/>
          <w:szCs w:val="20"/>
        </w:rPr>
        <w:br w:type="page"/>
      </w:r>
    </w:p>
    <w:p w:rsidR="00A556C0" w:rsidRDefault="00A556C0" w:rsidP="00346BEA"/>
    <w:sectPr w:rsidR="00A556C0" w:rsidSect="00346BEA">
      <w:pgSz w:w="8392" w:h="11907" w:code="10001"/>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EA"/>
    <w:rsid w:val="00346BEA"/>
    <w:rsid w:val="008E2A26"/>
    <w:rsid w:val="00A556C0"/>
    <w:rsid w:val="00B0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7A622-432C-4355-BD8F-08F27DEA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BEA"/>
    <w:pPr>
      <w:spacing w:after="200" w:line="276" w:lineRule="auto"/>
    </w:pPr>
  </w:style>
  <w:style w:type="paragraph" w:styleId="Heading1">
    <w:name w:val="heading 1"/>
    <w:basedOn w:val="Normal"/>
    <w:link w:val="Heading1Char"/>
    <w:uiPriority w:val="9"/>
    <w:qFormat/>
    <w:rsid w:val="00346BEA"/>
    <w:pPr>
      <w:widowControl w:val="0"/>
      <w:autoSpaceDE w:val="0"/>
      <w:autoSpaceDN w:val="0"/>
      <w:spacing w:after="0" w:line="480" w:lineRule="auto"/>
      <w:ind w:left="23"/>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BE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46BE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46BEA"/>
    <w:rPr>
      <w:rFonts w:ascii="Times New Roman" w:eastAsia="Times New Roman" w:hAnsi="Times New Roman" w:cs="Times New Roman"/>
      <w:sz w:val="24"/>
      <w:szCs w:val="24"/>
      <w:lang w:val="id"/>
    </w:rPr>
  </w:style>
  <w:style w:type="table" w:styleId="TableGrid">
    <w:name w:val="Table Grid"/>
    <w:basedOn w:val="TableNormal"/>
    <w:uiPriority w:val="59"/>
    <w:unhideWhenUsed/>
    <w:rsid w:val="00346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153B-E875-47BF-AE92-A3495E4B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GRAFIKA01</dc:creator>
  <cp:keywords/>
  <dc:description/>
  <cp:lastModifiedBy>GRAFIKA01</cp:lastModifiedBy>
  <cp:revision>2</cp:revision>
  <dcterms:created xsi:type="dcterms:W3CDTF">2025-01-20T04:51:00Z</dcterms:created>
  <dcterms:modified xsi:type="dcterms:W3CDTF">2025-01-20T04:51:00Z</dcterms:modified>
</cp:coreProperties>
</file>