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"/>
        <w:gridCol w:w="5635"/>
      </w:tblGrid>
      <w:tr w:rsidR="001416F7" w:rsidRPr="00B02CEA" w14:paraId="2C3B5A3D" w14:textId="77777777" w:rsidTr="009A3354">
        <w:tc>
          <w:tcPr>
            <w:tcW w:w="2235" w:type="dxa"/>
          </w:tcPr>
          <w:p w14:paraId="195FD65F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Judul Penelitian</w:t>
            </w:r>
          </w:p>
        </w:tc>
        <w:tc>
          <w:tcPr>
            <w:tcW w:w="283" w:type="dxa"/>
          </w:tcPr>
          <w:p w14:paraId="0CAFB03D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:</w:t>
            </w:r>
          </w:p>
        </w:tc>
        <w:tc>
          <w:tcPr>
            <w:tcW w:w="5635" w:type="dxa"/>
          </w:tcPr>
          <w:p w14:paraId="4B08D0B4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 xml:space="preserve">Pengaruh </w:t>
            </w:r>
            <w:r w:rsidRPr="00B02CEA">
              <w:rPr>
                <w:rFonts w:cs="Times New Roman"/>
                <w:b/>
                <w:bCs/>
                <w:i/>
                <w:iCs/>
                <w:szCs w:val="24"/>
                <w:lang w:val="id-ID"/>
              </w:rPr>
              <w:t xml:space="preserve">Intellectual Capital 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terhadap Profitabilitas Pada Perusahaan Sub Sektor Minya</w:t>
            </w:r>
            <w:r>
              <w:rPr>
                <w:rFonts w:cs="Times New Roman"/>
                <w:b/>
                <w:bCs/>
                <w:szCs w:val="24"/>
                <w:lang w:val="id-ID"/>
              </w:rPr>
              <w:t>k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 xml:space="preserve"> dan Gas Bumi yang Terdaftar di BEI Tahun 2020-2022</w:t>
            </w:r>
          </w:p>
        </w:tc>
      </w:tr>
      <w:tr w:rsidR="001416F7" w:rsidRPr="00B02CEA" w14:paraId="58A733BE" w14:textId="77777777" w:rsidTr="009A3354">
        <w:tc>
          <w:tcPr>
            <w:tcW w:w="2235" w:type="dxa"/>
          </w:tcPr>
          <w:p w14:paraId="7C01AF9F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Dosen Pembimbing</w:t>
            </w:r>
          </w:p>
        </w:tc>
        <w:tc>
          <w:tcPr>
            <w:tcW w:w="283" w:type="dxa"/>
          </w:tcPr>
          <w:p w14:paraId="67BB6251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:</w:t>
            </w:r>
          </w:p>
        </w:tc>
        <w:tc>
          <w:tcPr>
            <w:tcW w:w="5635" w:type="dxa"/>
          </w:tcPr>
          <w:p w14:paraId="1AB7AB7F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Trisnia Widuri, S.E., M.M</w:t>
            </w:r>
          </w:p>
          <w:p w14:paraId="133AFA76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Umi Nadhiroh, S.E., M.M</w:t>
            </w:r>
          </w:p>
        </w:tc>
      </w:tr>
      <w:tr w:rsidR="001416F7" w:rsidRPr="00B02CEA" w14:paraId="08DEB798" w14:textId="77777777" w:rsidTr="009A3354">
        <w:tc>
          <w:tcPr>
            <w:tcW w:w="2235" w:type="dxa"/>
          </w:tcPr>
          <w:p w14:paraId="2178E6AD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Nama Mahasiswa</w:t>
            </w:r>
          </w:p>
        </w:tc>
        <w:tc>
          <w:tcPr>
            <w:tcW w:w="283" w:type="dxa"/>
          </w:tcPr>
          <w:p w14:paraId="36364ED8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:</w:t>
            </w:r>
          </w:p>
        </w:tc>
        <w:tc>
          <w:tcPr>
            <w:tcW w:w="5635" w:type="dxa"/>
          </w:tcPr>
          <w:p w14:paraId="5C7B7FB2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Eriana</w:t>
            </w:r>
          </w:p>
        </w:tc>
      </w:tr>
      <w:tr w:rsidR="001416F7" w:rsidRPr="00B02CEA" w14:paraId="5B0DC162" w14:textId="77777777" w:rsidTr="009A3354">
        <w:tc>
          <w:tcPr>
            <w:tcW w:w="2235" w:type="dxa"/>
          </w:tcPr>
          <w:p w14:paraId="6335F338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NPM</w:t>
            </w:r>
          </w:p>
        </w:tc>
        <w:tc>
          <w:tcPr>
            <w:tcW w:w="283" w:type="dxa"/>
          </w:tcPr>
          <w:p w14:paraId="27C0A39B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:</w:t>
            </w:r>
          </w:p>
        </w:tc>
        <w:tc>
          <w:tcPr>
            <w:tcW w:w="5635" w:type="dxa"/>
          </w:tcPr>
          <w:p w14:paraId="2451393E" w14:textId="77777777" w:rsidR="001416F7" w:rsidRPr="00B02CEA" w:rsidRDefault="001416F7" w:rsidP="009A3354">
            <w:pPr>
              <w:spacing w:before="240"/>
              <w:jc w:val="both"/>
              <w:rPr>
                <w:rFonts w:cs="Times New Roman"/>
                <w:szCs w:val="24"/>
                <w:lang w:val="id-ID"/>
              </w:rPr>
            </w:pPr>
            <w:r w:rsidRPr="00B02CEA">
              <w:rPr>
                <w:rFonts w:cs="Times New Roman"/>
                <w:szCs w:val="24"/>
                <w:lang w:val="id-ID"/>
              </w:rPr>
              <w:t>20130210025</w:t>
            </w:r>
          </w:p>
        </w:tc>
      </w:tr>
    </w:tbl>
    <w:p w14:paraId="39C0BFD8" w14:textId="77777777" w:rsidR="001416F7" w:rsidRPr="00B02CEA" w:rsidRDefault="001416F7" w:rsidP="001416F7">
      <w:pPr>
        <w:rPr>
          <w:rFonts w:cs="Times New Roman"/>
          <w:szCs w:val="24"/>
          <w:lang w:val="id-ID"/>
        </w:rPr>
      </w:pPr>
    </w:p>
    <w:p w14:paraId="328C82E2" w14:textId="77777777" w:rsidR="001416F7" w:rsidRPr="00B02CEA" w:rsidRDefault="001416F7" w:rsidP="001416F7">
      <w:pPr>
        <w:jc w:val="center"/>
        <w:rPr>
          <w:rFonts w:cs="Times New Roman"/>
          <w:b/>
          <w:bCs/>
          <w:szCs w:val="24"/>
          <w:lang w:val="id-ID"/>
        </w:rPr>
      </w:pPr>
      <w:r w:rsidRPr="00B02CEA">
        <w:rPr>
          <w:rFonts w:cs="Times New Roman"/>
          <w:b/>
          <w:bCs/>
          <w:szCs w:val="24"/>
          <w:lang w:val="id-ID"/>
        </w:rPr>
        <w:t>Abstraksi</w:t>
      </w:r>
    </w:p>
    <w:p w14:paraId="5385E188" w14:textId="77777777" w:rsidR="001416F7" w:rsidRPr="00B02CEA" w:rsidRDefault="001416F7" w:rsidP="001416F7">
      <w:pPr>
        <w:ind w:firstLine="720"/>
        <w:jc w:val="both"/>
        <w:rPr>
          <w:rFonts w:cs="Times New Roman"/>
          <w:szCs w:val="24"/>
          <w:lang w:val="id-ID"/>
        </w:rPr>
      </w:pPr>
      <w:r w:rsidRPr="00B02CEA">
        <w:rPr>
          <w:rFonts w:cs="Times New Roman"/>
          <w:szCs w:val="24"/>
          <w:lang w:val="id-ID"/>
        </w:rPr>
        <w:t>Indonesia merupakan negara dengan berbagai keanekaragaman disetiap wilayah yang mampu bersaing dalam perekonomian. Melimpahnya sumber daya alam di Indonesia men</w:t>
      </w:r>
      <w:r>
        <w:rPr>
          <w:rFonts w:cs="Times New Roman"/>
          <w:szCs w:val="24"/>
          <w:lang w:val="id-ID"/>
        </w:rPr>
        <w:t>j</w:t>
      </w:r>
      <w:r w:rsidRPr="00B02CEA">
        <w:rPr>
          <w:rFonts w:cs="Times New Roman"/>
          <w:szCs w:val="24"/>
          <w:lang w:val="id-ID"/>
        </w:rPr>
        <w:t xml:space="preserve">adi potensi yang akan memungkinkan Indoenesia untuk menhgkatkan ekonominua melalui pengelolaan yang efektif. </w:t>
      </w:r>
      <w:r w:rsidRPr="00B02CEA">
        <w:rPr>
          <w:rFonts w:cs="Times New Roman"/>
          <w:i/>
          <w:iCs/>
          <w:szCs w:val="24"/>
          <w:lang w:val="id-ID"/>
        </w:rPr>
        <w:t xml:space="preserve">Intellectual Capital </w:t>
      </w:r>
      <w:r w:rsidRPr="00B02CEA">
        <w:rPr>
          <w:rFonts w:cs="Times New Roman"/>
          <w:szCs w:val="24"/>
          <w:lang w:val="id-ID"/>
        </w:rPr>
        <w:t>merupakan jenis aset tidak berwujud perusahaan dalam bentuk pengetahuan yang digunakan dalam menciptakan kekayaan pada perusahaan.</w:t>
      </w:r>
    </w:p>
    <w:p w14:paraId="5229F88B" w14:textId="77777777" w:rsidR="001416F7" w:rsidRPr="00B02CEA" w:rsidRDefault="001416F7" w:rsidP="001416F7">
      <w:pPr>
        <w:ind w:firstLine="720"/>
        <w:jc w:val="both"/>
        <w:rPr>
          <w:rFonts w:cs="Times New Roman"/>
          <w:szCs w:val="24"/>
          <w:lang w:val="id-ID"/>
        </w:rPr>
      </w:pPr>
      <w:r w:rsidRPr="00B02CEA">
        <w:rPr>
          <w:rFonts w:cs="Times New Roman"/>
          <w:szCs w:val="24"/>
          <w:lang w:val="id-ID"/>
        </w:rPr>
        <w:t xml:space="preserve">Penelitian ini bertujuan untuk mepngetahui pengaruh </w:t>
      </w:r>
      <w:r w:rsidRPr="00B02CEA">
        <w:rPr>
          <w:rFonts w:cs="Times New Roman"/>
          <w:i/>
          <w:iCs/>
          <w:szCs w:val="24"/>
          <w:lang w:val="id-ID"/>
        </w:rPr>
        <w:t xml:space="preserve">Intellectual Capital </w:t>
      </w:r>
      <w:r w:rsidRPr="00B02CEA">
        <w:rPr>
          <w:rFonts w:cs="Times New Roman"/>
          <w:szCs w:val="24"/>
          <w:lang w:val="id-ID"/>
        </w:rPr>
        <w:t xml:space="preserve">terhadap profitabilitas pada perusahaan sub sektor minyak dan gas bumi yang terdaftar di BEI tahun 2020-2022. </w:t>
      </w:r>
      <w:r>
        <w:rPr>
          <w:rFonts w:cs="Times New Roman"/>
          <w:szCs w:val="24"/>
          <w:lang w:val="id-ID"/>
        </w:rPr>
        <w:t>S</w:t>
      </w:r>
      <w:r w:rsidRPr="00B02CEA">
        <w:rPr>
          <w:rFonts w:cs="Times New Roman"/>
          <w:szCs w:val="24"/>
          <w:lang w:val="id-ID"/>
        </w:rPr>
        <w:t xml:space="preserve">ampel </w:t>
      </w:r>
      <w:r>
        <w:rPr>
          <w:rFonts w:cs="Times New Roman"/>
          <w:szCs w:val="24"/>
          <w:lang w:val="id-ID"/>
        </w:rPr>
        <w:t>pada penelitian ini</w:t>
      </w:r>
      <w:r w:rsidRPr="00B02CEA">
        <w:rPr>
          <w:rFonts w:cs="Times New Roman"/>
          <w:szCs w:val="24"/>
          <w:lang w:val="id-ID"/>
        </w:rPr>
        <w:t xml:space="preserve"> sebanyak 14</w:t>
      </w:r>
      <w:r>
        <w:rPr>
          <w:rFonts w:cs="Times New Roman"/>
          <w:szCs w:val="24"/>
          <w:lang w:val="id-ID"/>
        </w:rPr>
        <w:t xml:space="preserve"> perusahaan</w:t>
      </w:r>
      <w:r w:rsidRPr="00B02CEA">
        <w:rPr>
          <w:rFonts w:cs="Times New Roman"/>
          <w:szCs w:val="24"/>
          <w:lang w:val="id-ID"/>
        </w:rPr>
        <w:t xml:space="preserve"> dengan menggunakan </w:t>
      </w:r>
      <w:r w:rsidRPr="00B02CEA">
        <w:rPr>
          <w:rFonts w:cs="Times New Roman"/>
          <w:i/>
          <w:iCs/>
          <w:szCs w:val="24"/>
          <w:lang w:val="id-ID"/>
        </w:rPr>
        <w:t xml:space="preserve">purposive sampling. </w:t>
      </w:r>
      <w:r w:rsidRPr="00B02CEA">
        <w:rPr>
          <w:rFonts w:cs="Times New Roman"/>
          <w:szCs w:val="24"/>
          <w:lang w:val="id-ID"/>
        </w:rPr>
        <w:t xml:space="preserve">Metode penelitian menggunakan pendekatan kuantitatif </w:t>
      </w:r>
      <w:r>
        <w:rPr>
          <w:rFonts w:cs="Times New Roman"/>
          <w:szCs w:val="24"/>
          <w:lang w:val="id-ID"/>
        </w:rPr>
        <w:t>asosia</w:t>
      </w:r>
      <w:r w:rsidRPr="00B02CEA">
        <w:rPr>
          <w:rFonts w:cs="Times New Roman"/>
          <w:szCs w:val="24"/>
          <w:lang w:val="id-ID"/>
        </w:rPr>
        <w:t xml:space="preserve">tif, teknik pengumpulan data sekunder sedangkan analisis regresi data panel dibantu oleh </w:t>
      </w:r>
      <w:r w:rsidRPr="00B02CEA">
        <w:rPr>
          <w:rFonts w:cs="Times New Roman"/>
          <w:i/>
          <w:iCs/>
          <w:szCs w:val="24"/>
          <w:lang w:val="id-ID"/>
        </w:rPr>
        <w:t>software Eviews 10</w:t>
      </w:r>
      <w:r w:rsidRPr="00B02CEA">
        <w:rPr>
          <w:rFonts w:cs="Times New Roman"/>
          <w:szCs w:val="24"/>
          <w:lang w:val="id-ID"/>
        </w:rPr>
        <w:t>.</w:t>
      </w:r>
    </w:p>
    <w:p w14:paraId="2F30DA0B" w14:textId="77777777" w:rsidR="001416F7" w:rsidRPr="00B02CEA" w:rsidRDefault="001416F7" w:rsidP="001416F7">
      <w:pPr>
        <w:ind w:firstLine="720"/>
        <w:jc w:val="both"/>
        <w:rPr>
          <w:rFonts w:cs="Times New Roman"/>
          <w:szCs w:val="24"/>
          <w:lang w:val="id-ID"/>
        </w:rPr>
      </w:pPr>
      <w:r w:rsidRPr="00B02CEA">
        <w:rPr>
          <w:rFonts w:cs="Times New Roman"/>
          <w:szCs w:val="24"/>
          <w:lang w:val="id-ID"/>
        </w:rPr>
        <w:t xml:space="preserve">Hasil penelitian yaitu variabel bebas </w:t>
      </w:r>
      <w:r w:rsidRPr="00B02CEA">
        <w:rPr>
          <w:rFonts w:cs="Times New Roman"/>
          <w:i/>
          <w:iCs/>
          <w:szCs w:val="24"/>
          <w:lang w:val="id-ID"/>
        </w:rPr>
        <w:t xml:space="preserve">Value Added Capital Employed </w:t>
      </w:r>
      <w:r w:rsidRPr="00B02CEA">
        <w:rPr>
          <w:rFonts w:cs="Times New Roman"/>
          <w:szCs w:val="24"/>
          <w:lang w:val="id-ID"/>
        </w:rPr>
        <w:t>(VACA)</w:t>
      </w:r>
      <w:r>
        <w:rPr>
          <w:rFonts w:cs="Times New Roman"/>
          <w:szCs w:val="24"/>
          <w:lang w:val="id-ID"/>
        </w:rPr>
        <w:t xml:space="preserve"> secara parsial</w:t>
      </w:r>
      <w:r w:rsidRPr="00B02CEA">
        <w:rPr>
          <w:rFonts w:cs="Times New Roman"/>
          <w:i/>
          <w:iCs/>
          <w:szCs w:val="24"/>
          <w:lang w:val="id-ID"/>
        </w:rPr>
        <w:t xml:space="preserve"> </w:t>
      </w:r>
      <w:r w:rsidRPr="00B02CEA">
        <w:rPr>
          <w:rFonts w:cs="Times New Roman"/>
          <w:szCs w:val="24"/>
          <w:lang w:val="id-ID"/>
        </w:rPr>
        <w:t xml:space="preserve">berpengaruh </w:t>
      </w:r>
      <w:r>
        <w:rPr>
          <w:rFonts w:cs="Times New Roman"/>
          <w:szCs w:val="24"/>
          <w:lang w:val="id-ID"/>
        </w:rPr>
        <w:t>negatif</w:t>
      </w:r>
      <w:r w:rsidRPr="00B02CEA">
        <w:rPr>
          <w:rFonts w:cs="Times New Roman"/>
          <w:szCs w:val="24"/>
          <w:lang w:val="id-ID"/>
        </w:rPr>
        <w:t xml:space="preserve"> dan signifikan terhadap </w:t>
      </w:r>
      <w:r w:rsidRPr="00B02CEA">
        <w:rPr>
          <w:rFonts w:cs="Times New Roman"/>
          <w:i/>
          <w:iCs/>
          <w:szCs w:val="24"/>
          <w:lang w:val="id-ID"/>
        </w:rPr>
        <w:t xml:space="preserve">Return On Assets </w:t>
      </w:r>
      <w:r w:rsidRPr="00B02CEA">
        <w:rPr>
          <w:rFonts w:cs="Times New Roman"/>
          <w:szCs w:val="24"/>
          <w:lang w:val="id-ID"/>
        </w:rPr>
        <w:t>(ROA).</w:t>
      </w:r>
      <w:r w:rsidRPr="00B02CEA">
        <w:rPr>
          <w:rFonts w:cs="Times New Roman"/>
          <w:i/>
          <w:iCs/>
          <w:szCs w:val="24"/>
          <w:lang w:val="id-ID"/>
        </w:rPr>
        <w:t xml:space="preserve"> </w:t>
      </w:r>
      <w:r w:rsidRPr="00B02CEA">
        <w:rPr>
          <w:rFonts w:cs="Times New Roman"/>
          <w:szCs w:val="24"/>
          <w:lang w:val="id-ID"/>
        </w:rPr>
        <w:t xml:space="preserve">Sedangkan untuk variabel bebas </w:t>
      </w:r>
      <w:r w:rsidRPr="00B02CEA">
        <w:rPr>
          <w:rFonts w:cs="Times New Roman"/>
          <w:i/>
          <w:iCs/>
          <w:szCs w:val="24"/>
          <w:lang w:val="id-ID"/>
        </w:rPr>
        <w:t xml:space="preserve">Value Added Human Capital </w:t>
      </w:r>
      <w:r w:rsidRPr="00B02CEA">
        <w:rPr>
          <w:rFonts w:cs="Times New Roman"/>
          <w:szCs w:val="24"/>
          <w:lang w:val="id-ID"/>
        </w:rPr>
        <w:t>(VAHU) dan</w:t>
      </w:r>
      <w:r w:rsidRPr="00B02CEA">
        <w:rPr>
          <w:rFonts w:cs="Times New Roman"/>
          <w:i/>
          <w:iCs/>
          <w:szCs w:val="24"/>
          <w:lang w:val="id-ID"/>
        </w:rPr>
        <w:t xml:space="preserve"> Structural Capital Value Added </w:t>
      </w:r>
      <w:r w:rsidRPr="00B02CEA">
        <w:rPr>
          <w:rFonts w:cs="Times New Roman"/>
          <w:szCs w:val="24"/>
          <w:lang w:val="id-ID"/>
        </w:rPr>
        <w:t>(STVA)</w:t>
      </w:r>
      <w:r>
        <w:rPr>
          <w:rFonts w:cs="Times New Roman"/>
          <w:szCs w:val="24"/>
          <w:lang w:val="id-ID"/>
        </w:rPr>
        <w:t xml:space="preserve"> secara parsial</w:t>
      </w:r>
      <w:r w:rsidRPr="00B02CEA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 xml:space="preserve">berpengaruh positif dan tidak signifikan </w:t>
      </w:r>
      <w:r w:rsidRPr="00B02CEA">
        <w:rPr>
          <w:rFonts w:cs="Times New Roman"/>
          <w:szCs w:val="24"/>
          <w:lang w:val="id-ID"/>
        </w:rPr>
        <w:t xml:space="preserve">terhadap </w:t>
      </w:r>
      <w:r w:rsidRPr="00B02CEA">
        <w:rPr>
          <w:rFonts w:cs="Times New Roman"/>
          <w:i/>
          <w:iCs/>
          <w:szCs w:val="24"/>
          <w:lang w:val="id-ID"/>
        </w:rPr>
        <w:t xml:space="preserve">Return On Assets </w:t>
      </w:r>
      <w:r w:rsidRPr="00B02CEA">
        <w:rPr>
          <w:rFonts w:cs="Times New Roman"/>
          <w:szCs w:val="24"/>
          <w:lang w:val="id-ID"/>
        </w:rPr>
        <w:t xml:space="preserve">(ROA). Hasil penelitian secara simultan (bersama-sama) menunjukkan terdapat pengaruh </w:t>
      </w:r>
      <w:r>
        <w:rPr>
          <w:rFonts w:cs="Times New Roman"/>
          <w:szCs w:val="24"/>
          <w:lang w:val="id-ID"/>
        </w:rPr>
        <w:t xml:space="preserve">yang </w:t>
      </w:r>
      <w:r w:rsidRPr="00B02CEA">
        <w:rPr>
          <w:rFonts w:cs="Times New Roman"/>
          <w:szCs w:val="24"/>
          <w:lang w:val="id-ID"/>
        </w:rPr>
        <w:t xml:space="preserve">signifikan antara variabel bebas </w:t>
      </w:r>
      <w:r w:rsidRPr="00B02CEA">
        <w:rPr>
          <w:rFonts w:cs="Times New Roman"/>
          <w:i/>
          <w:iCs/>
          <w:szCs w:val="24"/>
          <w:lang w:val="id-ID"/>
        </w:rPr>
        <w:t xml:space="preserve">Value Added Capital Employed </w:t>
      </w:r>
      <w:r w:rsidRPr="00B02CEA">
        <w:rPr>
          <w:rFonts w:cs="Times New Roman"/>
          <w:szCs w:val="24"/>
          <w:lang w:val="id-ID"/>
        </w:rPr>
        <w:t xml:space="preserve">(VACA), </w:t>
      </w:r>
      <w:r w:rsidRPr="00B02CEA">
        <w:rPr>
          <w:rFonts w:cs="Times New Roman"/>
          <w:i/>
          <w:iCs/>
          <w:szCs w:val="24"/>
          <w:lang w:val="id-ID"/>
        </w:rPr>
        <w:t xml:space="preserve">Value Added Human Capital </w:t>
      </w:r>
      <w:r w:rsidRPr="00B02CEA">
        <w:rPr>
          <w:rFonts w:cs="Times New Roman"/>
          <w:szCs w:val="24"/>
          <w:lang w:val="id-ID"/>
        </w:rPr>
        <w:t>(VAHU) dan</w:t>
      </w:r>
      <w:r w:rsidRPr="00B02CEA">
        <w:rPr>
          <w:rFonts w:cs="Times New Roman"/>
          <w:i/>
          <w:iCs/>
          <w:szCs w:val="24"/>
          <w:lang w:val="id-ID"/>
        </w:rPr>
        <w:t xml:space="preserve"> Structural Capital Value Added </w:t>
      </w:r>
      <w:r w:rsidRPr="00B02CEA">
        <w:rPr>
          <w:rFonts w:cs="Times New Roman"/>
          <w:szCs w:val="24"/>
          <w:lang w:val="id-ID"/>
        </w:rPr>
        <w:t xml:space="preserve">(STVA) terhadap </w:t>
      </w:r>
      <w:r w:rsidRPr="00B02CEA">
        <w:rPr>
          <w:rFonts w:cs="Times New Roman"/>
          <w:i/>
          <w:iCs/>
          <w:szCs w:val="24"/>
          <w:lang w:val="id-ID"/>
        </w:rPr>
        <w:t xml:space="preserve">Return On Assets </w:t>
      </w:r>
      <w:r w:rsidRPr="00B02CEA">
        <w:rPr>
          <w:rFonts w:cs="Times New Roman"/>
          <w:szCs w:val="24"/>
          <w:lang w:val="id-ID"/>
        </w:rPr>
        <w:t>(ROA).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6"/>
        <w:gridCol w:w="6344"/>
      </w:tblGrid>
      <w:tr w:rsidR="001416F7" w:rsidRPr="00B02CEA" w14:paraId="1BF02558" w14:textId="77777777" w:rsidTr="009A3354">
        <w:tc>
          <w:tcPr>
            <w:tcW w:w="1526" w:type="dxa"/>
          </w:tcPr>
          <w:p w14:paraId="0029A0E8" w14:textId="77777777" w:rsidR="001416F7" w:rsidRPr="00B02CEA" w:rsidRDefault="001416F7" w:rsidP="009A3354">
            <w:pPr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Kata Kunci</w:t>
            </w:r>
          </w:p>
        </w:tc>
        <w:tc>
          <w:tcPr>
            <w:tcW w:w="283" w:type="dxa"/>
          </w:tcPr>
          <w:p w14:paraId="580E8DA4" w14:textId="77777777" w:rsidR="001416F7" w:rsidRPr="00B02CEA" w:rsidRDefault="001416F7" w:rsidP="009A3354">
            <w:pPr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:</w:t>
            </w:r>
          </w:p>
        </w:tc>
        <w:tc>
          <w:tcPr>
            <w:tcW w:w="6344" w:type="dxa"/>
          </w:tcPr>
          <w:p w14:paraId="415CB09C" w14:textId="77777777" w:rsidR="001416F7" w:rsidRPr="00B02CEA" w:rsidRDefault="001416F7" w:rsidP="009A3354">
            <w:pPr>
              <w:jc w:val="both"/>
              <w:rPr>
                <w:rFonts w:cs="Times New Roman"/>
                <w:b/>
                <w:bCs/>
                <w:szCs w:val="24"/>
                <w:lang w:val="id-ID"/>
              </w:rPr>
            </w:pPr>
            <w:r w:rsidRPr="00B02CEA">
              <w:rPr>
                <w:rFonts w:cs="Times New Roman"/>
                <w:b/>
                <w:bCs/>
                <w:i/>
                <w:iCs/>
                <w:szCs w:val="24"/>
                <w:lang w:val="id-ID"/>
              </w:rPr>
              <w:t xml:space="preserve">Intellectual Capital, Value Added Capital Employed 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 xml:space="preserve">(VACA), </w:t>
            </w:r>
            <w:r w:rsidRPr="00B02CEA">
              <w:rPr>
                <w:rFonts w:cs="Times New Roman"/>
                <w:b/>
                <w:bCs/>
                <w:i/>
                <w:iCs/>
                <w:szCs w:val="24"/>
                <w:lang w:val="id-ID"/>
              </w:rPr>
              <w:t xml:space="preserve">Value Added Human Capital 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 xml:space="preserve">(VAHU), </w:t>
            </w:r>
            <w:r w:rsidRPr="00B02CEA">
              <w:rPr>
                <w:rFonts w:cs="Times New Roman"/>
                <w:b/>
                <w:bCs/>
                <w:i/>
                <w:iCs/>
                <w:szCs w:val="24"/>
                <w:lang w:val="id-ID"/>
              </w:rPr>
              <w:t xml:space="preserve">Structural Capital Value Added 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 xml:space="preserve">(STVA), </w:t>
            </w:r>
            <w:r w:rsidRPr="00B02CEA">
              <w:rPr>
                <w:rFonts w:cs="Times New Roman"/>
                <w:b/>
                <w:bCs/>
                <w:i/>
                <w:iCs/>
                <w:szCs w:val="24"/>
                <w:lang w:val="id-ID"/>
              </w:rPr>
              <w:t xml:space="preserve">Return On Assets </w:t>
            </w:r>
            <w:r w:rsidRPr="00B02CEA">
              <w:rPr>
                <w:rFonts w:cs="Times New Roman"/>
                <w:b/>
                <w:bCs/>
                <w:szCs w:val="24"/>
                <w:lang w:val="id-ID"/>
              </w:rPr>
              <w:t>(ROA)</w:t>
            </w:r>
          </w:p>
        </w:tc>
      </w:tr>
    </w:tbl>
    <w:p w14:paraId="66D55E2F" w14:textId="77777777" w:rsidR="001416F7" w:rsidRPr="00B02CEA" w:rsidRDefault="001416F7" w:rsidP="001416F7">
      <w:pPr>
        <w:rPr>
          <w:rFonts w:eastAsia="SimSun" w:cs="Times New Roman"/>
          <w:b/>
          <w:bCs/>
          <w:noProof/>
          <w:szCs w:val="24"/>
          <w:lang w:val="id-ID"/>
        </w:rPr>
      </w:pPr>
    </w:p>
    <w:p w14:paraId="460E26E1" w14:textId="77777777" w:rsidR="00D5447E" w:rsidRDefault="00D5447E"/>
    <w:sectPr w:rsidR="00D54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7"/>
    <w:rsid w:val="000253C7"/>
    <w:rsid w:val="001416F7"/>
    <w:rsid w:val="00560431"/>
    <w:rsid w:val="00AB7754"/>
    <w:rsid w:val="00D5447E"/>
    <w:rsid w:val="00E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2685"/>
  <w15:chartTrackingRefBased/>
  <w15:docId w15:val="{6DFD9EA5-CF3E-4164-BFBD-FF8B100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F7"/>
    <w:rPr>
      <w:rFonts w:ascii="Times New Roman" w:eastAsia="Calibri" w:hAnsi="Times New Roman" w:cs="SimSu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F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F7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6F7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Eriana .</dc:creator>
  <cp:keywords/>
  <dc:description/>
  <cp:lastModifiedBy>Eriana .</cp:lastModifiedBy>
  <cp:revision>1</cp:revision>
  <dcterms:created xsi:type="dcterms:W3CDTF">2024-09-09T04:42:00Z</dcterms:created>
  <dcterms:modified xsi:type="dcterms:W3CDTF">2024-09-09T04:44:00Z</dcterms:modified>
</cp:coreProperties>
</file>